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39" w:rsidRDefault="00997439" w:rsidP="0099743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 5</w:t>
      </w:r>
    </w:p>
    <w:p w:rsidR="00997439" w:rsidRDefault="00997439" w:rsidP="0099743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</w:t>
      </w:r>
    </w:p>
    <w:p w:rsidR="00997439" w:rsidRDefault="00997439" w:rsidP="0099743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Утверждены </w:t>
      </w:r>
    </w:p>
    <w:p w:rsidR="00997439" w:rsidRDefault="00997439" w:rsidP="0099743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приказом управления </w:t>
      </w:r>
    </w:p>
    <w:p w:rsidR="00997439" w:rsidRDefault="00997439" w:rsidP="0099743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культуры области </w:t>
      </w:r>
    </w:p>
    <w:p w:rsidR="00997439" w:rsidRDefault="00997439" w:rsidP="00997439">
      <w:pPr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от </w:t>
      </w:r>
      <w:r>
        <w:rPr>
          <w:b/>
          <w:bCs/>
          <w:sz w:val="27"/>
          <w:szCs w:val="27"/>
          <w:u w:val="single"/>
        </w:rPr>
        <w:t>28. 12. 2017г</w:t>
      </w:r>
      <w:r>
        <w:rPr>
          <w:b/>
          <w:bCs/>
          <w:sz w:val="27"/>
          <w:szCs w:val="27"/>
        </w:rPr>
        <w:t xml:space="preserve">. № </w:t>
      </w:r>
      <w:r>
        <w:rPr>
          <w:b/>
          <w:bCs/>
          <w:sz w:val="27"/>
          <w:szCs w:val="27"/>
          <w:u w:val="single"/>
        </w:rPr>
        <w:t>401</w:t>
      </w:r>
    </w:p>
    <w:p w:rsidR="00997439" w:rsidRDefault="00997439" w:rsidP="00997439">
      <w:pPr>
        <w:jc w:val="right"/>
        <w:rPr>
          <w:b/>
          <w:bCs/>
          <w:sz w:val="16"/>
          <w:szCs w:val="16"/>
        </w:rPr>
      </w:pPr>
    </w:p>
    <w:p w:rsidR="00997439" w:rsidRDefault="00997439" w:rsidP="00997439">
      <w:pPr>
        <w:jc w:val="center"/>
        <w:rPr>
          <w:b/>
        </w:rPr>
      </w:pPr>
      <w:r>
        <w:rPr>
          <w:b/>
        </w:rPr>
        <w:t>Целевые показатели эффективности деятельности государственного бюджетного учреждения культуры</w:t>
      </w:r>
    </w:p>
    <w:p w:rsidR="00997439" w:rsidRDefault="00997439" w:rsidP="00997439">
      <w:pPr>
        <w:ind w:left="360"/>
        <w:jc w:val="center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«Белгородский государственный художественный музей»</w:t>
      </w:r>
      <w:r>
        <w:rPr>
          <w:b/>
        </w:rPr>
        <w:t xml:space="preserve"> на 2018 год</w:t>
      </w:r>
    </w:p>
    <w:p w:rsidR="00997439" w:rsidRDefault="00997439" w:rsidP="00997439">
      <w:pPr>
        <w:ind w:left="36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  <w:gridCol w:w="1148"/>
        <w:gridCol w:w="1027"/>
        <w:gridCol w:w="1135"/>
        <w:gridCol w:w="1293"/>
        <w:gridCol w:w="1299"/>
      </w:tblGrid>
      <w:tr w:rsidR="00997439" w:rsidTr="00997439">
        <w:tc>
          <w:tcPr>
            <w:tcW w:w="3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Наименование целевого показателя</w:t>
            </w:r>
          </w:p>
        </w:tc>
        <w:tc>
          <w:tcPr>
            <w:tcW w:w="1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997439" w:rsidTr="009974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rPr>
                <w:b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</w:rPr>
              <w:t>Поквартально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</w:tr>
      <w:tr w:rsidR="00997439" w:rsidTr="009974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rPr>
                <w:b/>
              </w:rPr>
            </w:pPr>
          </w:p>
        </w:tc>
      </w:tr>
      <w:tr w:rsidR="00997439" w:rsidTr="009974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</w:rPr>
              <w:t>1.Сохранение и пополнение музейного фонда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</w:pPr>
            <w:r>
              <w:t>1.1.Пополнение Государственной части Музейного фонда РФ, ед.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40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</w:pPr>
            <w:r>
              <w:t>1.2. Количество музейных предметов, прошедших регистрацию в инвентарных книгах фондов, ед.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40</w:t>
            </w:r>
          </w:p>
        </w:tc>
      </w:tr>
      <w:tr w:rsidR="00997439" w:rsidTr="00997439">
        <w:trPr>
          <w:trHeight w:val="328"/>
        </w:trPr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Количество музейных предметов,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поколлекционную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сверку наличия, ед.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736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2 398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2 400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2 400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</w:pPr>
            <w:r>
              <w:t xml:space="preserve">1.4. Количество музейных предметов, требующих реставрации в текущем году / количество отреставрированных музейных предметов, ед.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268/1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268/2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268/3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268/4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268/4</w:t>
            </w:r>
          </w:p>
        </w:tc>
      </w:tr>
      <w:tr w:rsidR="00997439" w:rsidTr="009974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  <w:rPr>
                <w:b/>
              </w:rPr>
            </w:pPr>
            <w:r>
              <w:rPr>
                <w:b/>
              </w:rPr>
              <w:t>2.Обеспечение доступа населения области к  музейным предметам и музейным ценностям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2.1. Доля представленных (во всех формах) зрителю музейных предметов в общем количестве музейных предметов основного фонда,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37,2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37,2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both"/>
              <w:rPr>
                <w:bCs/>
              </w:rPr>
            </w:pPr>
            <w:r>
              <w:t>2.2. Количество выставок, ед.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43</w:t>
            </w:r>
          </w:p>
        </w:tc>
      </w:tr>
      <w:tr w:rsidR="00997439" w:rsidTr="00997439">
        <w:trPr>
          <w:trHeight w:val="287"/>
        </w:trPr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both"/>
            </w:pPr>
            <w:r>
              <w:t>2.3. Количество посетителей музея, тыс. чел.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86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86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</w:pPr>
            <w:r>
              <w:t>2.4. Количество посещений Интернет-сайта музея (количество обращений в стационарном и удаленном режиме пользователей к электронным информационным ресурсам музея), ед.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6 500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9 500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12 500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12 500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</w:pPr>
            <w:r>
              <w:t>2.5. Количество виртуальных выставок, ед.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5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  <w:rPr>
                <w:highlight w:val="yellow"/>
              </w:rPr>
            </w:pPr>
            <w:r>
              <w:t>2.6. Доля музейных предметов, представленных в постоянной экспозиции и доступных в сети Интернет, % 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95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100</w:t>
            </w:r>
          </w:p>
        </w:tc>
      </w:tr>
      <w:tr w:rsidR="00997439" w:rsidTr="00997439"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ind w:right="113"/>
              <w:jc w:val="both"/>
            </w:pPr>
            <w:r>
              <w:t>3. Объем средств от оказания платных услуг и иной приносящей доход деятельности,</w:t>
            </w:r>
          </w:p>
          <w:p w:rsidR="00997439" w:rsidRDefault="00997439">
            <w:pPr>
              <w:ind w:right="113"/>
              <w:jc w:val="both"/>
            </w:pPr>
            <w:r>
              <w:t>тыс. руб.</w:t>
            </w:r>
            <w:r>
              <w:rPr>
                <w:sz w:val="27"/>
                <w:szCs w:val="27"/>
              </w:rPr>
              <w:t xml:space="preserve"> </w:t>
            </w:r>
            <w:r>
              <w:t>(нарастающим итогом)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650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1 470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2 290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3 666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39" w:rsidRDefault="00997439">
            <w:pPr>
              <w:jc w:val="center"/>
            </w:pPr>
            <w:r>
              <w:t>3 666</w:t>
            </w:r>
          </w:p>
        </w:tc>
      </w:tr>
    </w:tbl>
    <w:p w:rsidR="00997439" w:rsidRDefault="00997439" w:rsidP="00997439">
      <w:pPr>
        <w:rPr>
          <w:bCs/>
          <w:sz w:val="28"/>
        </w:rPr>
        <w:sectPr w:rsidR="00997439">
          <w:pgSz w:w="16838" w:h="11906" w:orient="landscape"/>
          <w:pgMar w:top="680" w:right="624" w:bottom="1134" w:left="624" w:header="709" w:footer="709" w:gutter="0"/>
          <w:cols w:space="720"/>
        </w:sectPr>
      </w:pPr>
      <w:bookmarkStart w:id="0" w:name="_GoBack"/>
      <w:bookmarkEnd w:id="0"/>
    </w:p>
    <w:p w:rsidR="00997439" w:rsidRDefault="00997439" w:rsidP="00997439"/>
    <w:sectPr w:rsidR="0099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9"/>
    <w:rsid w:val="00144FA8"/>
    <w:rsid w:val="00997439"/>
    <w:rsid w:val="00D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2018-02-22T13:55:00Z</dcterms:created>
  <dcterms:modified xsi:type="dcterms:W3CDTF">2018-02-22T13:57:00Z</dcterms:modified>
</cp:coreProperties>
</file>