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5" w:rsidRPr="00F3480D" w:rsidRDefault="00A23895" w:rsidP="00507CB3">
      <w:pPr>
        <w:pStyle w:val="ConsPlusTitlePage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Утверждено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8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21 июня 2010 г. N 220-пп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Title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3480D">
        <w:rPr>
          <w:rFonts w:ascii="Times New Roman" w:hAnsi="Times New Roman" w:cs="Times New Roman"/>
          <w:sz w:val="24"/>
          <w:szCs w:val="24"/>
        </w:rPr>
        <w:t>ПОЛОЖЕНИЕ</w:t>
      </w:r>
    </w:p>
    <w:p w:rsidR="00A23895" w:rsidRPr="00F3480D" w:rsidRDefault="00A23895" w:rsidP="00507CB3">
      <w:pPr>
        <w:pStyle w:val="ConsPlusTitle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ОБ ОТКРЫТОМ БЕЛГОРОДСКОМ ФЕСТИВАЛЕ ИЗОБРАЗИТЕЛЬНЫХ ИСКУССТВ</w:t>
      </w:r>
    </w:p>
    <w:p w:rsidR="00A23895" w:rsidRPr="00F3480D" w:rsidRDefault="00A23895" w:rsidP="00507CB3">
      <w:pPr>
        <w:pStyle w:val="ConsPlusTitle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ПАМЯТИ ЗАСЛУЖЕННОГО ХУДОЖНИКА РОССИИ С.С.КОСЕНКОВА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Белгородской области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8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14.05.2012 </w:t>
      </w:r>
      <w:hyperlink r:id="rId4" w:history="1">
        <w:r w:rsidRPr="00F3480D">
          <w:rPr>
            <w:rFonts w:ascii="Times New Roman" w:hAnsi="Times New Roman" w:cs="Times New Roman"/>
            <w:sz w:val="24"/>
            <w:szCs w:val="24"/>
          </w:rPr>
          <w:t>N 213-пп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, от 17.03.2014 </w:t>
      </w:r>
      <w:hyperlink r:id="rId5" w:history="1">
        <w:r w:rsidRPr="00F3480D">
          <w:rPr>
            <w:rFonts w:ascii="Times New Roman" w:hAnsi="Times New Roman" w:cs="Times New Roman"/>
            <w:sz w:val="24"/>
            <w:szCs w:val="24"/>
          </w:rPr>
          <w:t>N 90-пп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6" w:history="1">
        <w:r w:rsidRPr="00F3480D">
          <w:rPr>
            <w:rFonts w:ascii="Times New Roman" w:hAnsi="Times New Roman" w:cs="Times New Roman"/>
            <w:sz w:val="24"/>
            <w:szCs w:val="24"/>
          </w:rPr>
          <w:t>N 478-пп</w:t>
        </w:r>
      </w:hyperlink>
      <w:r w:rsidRPr="00F3480D">
        <w:rPr>
          <w:rFonts w:ascii="Times New Roman" w:hAnsi="Times New Roman" w:cs="Times New Roman"/>
          <w:sz w:val="24"/>
          <w:szCs w:val="24"/>
        </w:rPr>
        <w:t>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1.1. Открытый Белгородский фестиваль изобразительных искусств (далее - Фестиваль) учрежден постановлением Правительства Белгородской области, проводится в честь заслуженного художника России С.С.</w:t>
      </w:r>
      <w:r w:rsidR="005D1B82">
        <w:rPr>
          <w:rFonts w:ascii="Times New Roman" w:hAnsi="Times New Roman" w:cs="Times New Roman"/>
          <w:sz w:val="24"/>
          <w:szCs w:val="24"/>
        </w:rPr>
        <w:t xml:space="preserve"> </w:t>
      </w:r>
      <w:r w:rsidRPr="00F3480D">
        <w:rPr>
          <w:rFonts w:ascii="Times New Roman" w:hAnsi="Times New Roman" w:cs="Times New Roman"/>
          <w:sz w:val="24"/>
          <w:szCs w:val="24"/>
        </w:rPr>
        <w:t>Косенкова один раз в два года департаментом внутренней и кадровой политики области совместно с Белгородским государственным художественным музеем, Белгородской региональной организацией всероссийской творческой общественной организации "Союз художников России", Белгородским региональным отделением общероссийской общественной организации "Творческий союз художников России" и включает мероприятия: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выставки с конкурсной программой;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научно-практическая конференция "Актуальные вопросы развития отечественного изобразительного искусства в провинции";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встречи с художниками, мастер-классы, обучающие лекции, тренинги по искусству.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1.1 в ред. </w:t>
      </w:r>
      <w:hyperlink r:id="rId7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1.2. На выставки с конкурсной программой принимаются работы художников Белгородской области и других регионов России, прошедшие отбор выставочного комитета (далее - Выставком).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1.3. Фестиваль работает в течение 4-х недель.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1.4. В рамках Фестиваля проводится конкурс, в котором определяются победители по двум номинациям: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 "Лучшая работа в области изобразительного искусства Белгородчины", где рассматриваются работы художников Белгородской области.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2. "Лучшая работа гостей Фестиваля", где рассматриваются работы художников из других регионов.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1.5. Подготовку и проведение Фестиваля осуществляет организационный комитет Фестиваля (далее - Оргкомитет).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1.6. Первый Фестиваль проводится в сентябре - октябре 2011 года (к 70-летию со дня рождения заслуженного художника России 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С.С.Косенкова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>), далее - в 2014 и 2017 годах, в последующем - один раз в два года.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Белгородской области от 14.05.2012 </w:t>
      </w:r>
      <w:hyperlink r:id="rId8" w:history="1">
        <w:r w:rsidRPr="00F3480D">
          <w:rPr>
            <w:rFonts w:ascii="Times New Roman" w:hAnsi="Times New Roman" w:cs="Times New Roman"/>
            <w:sz w:val="24"/>
            <w:szCs w:val="24"/>
          </w:rPr>
          <w:t>N 213-пп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9" w:history="1">
        <w:r w:rsidRPr="00F3480D">
          <w:rPr>
            <w:rFonts w:ascii="Times New Roman" w:hAnsi="Times New Roman" w:cs="Times New Roman"/>
            <w:sz w:val="24"/>
            <w:szCs w:val="24"/>
          </w:rPr>
          <w:t>N 478-пп</w:t>
        </w:r>
      </w:hyperlink>
      <w:r w:rsidRPr="00F3480D">
        <w:rPr>
          <w:rFonts w:ascii="Times New Roman" w:hAnsi="Times New Roman" w:cs="Times New Roman"/>
          <w:sz w:val="24"/>
          <w:szCs w:val="24"/>
        </w:rPr>
        <w:t>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II. Идея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2.1. Повышение авторитета Белгородской области в сфере изобразительного искусства и пропаганда культурного наследия белгородских художников.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III. Цели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3.1. Основными целями Фестиваля являются: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3.1.1. Развитие и укрепление культурного потенциала области, расширение возможностей творческого самовыражения.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3.1.2. Поддержка творческих контактов, взаимообогащение различных видов и жанров изобразительного искусства, направленных на развитие в Белгородской области яркого самобытного искусства.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lastRenderedPageBreak/>
        <w:t>3.1.3. Поддержка талантливых художников из числа известных мастеров и начинающих молодых художников; открытие новых имен в современном искусстве.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3.1.4. Содействие плодотворному межрегиональному сотрудничеству творческой интеллигенции, поддержка и развитие художественных традиций в среде работников изобразительного искусства.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3.1.5. Создание конкурентной среды в целях стимулирования развития изобразительного художественного творчества на 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>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IV. Задачи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 Основными задачами Фестиваля являются: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4.1.1. Повышение социальной роли и значимости изобразительного искусства в области и за ее пределами.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4.1.2. Обмен творческим опытом, расширение и совершенствование организационно-творческих связей, повышение профессионального уровня работников творческих профессий.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4.1.3. Развитие искусствознания и прикладного искусствоведения на 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 xml:space="preserve"> и зарождение в области художественной критики как профессиональной формы деятельности.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4.1.4. Популяризация и развитие всех видов профессиональной изобразительной художественной деятельности.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4.1.5. Привлечение внимания к проблемам развития изобразительного искусства области и поиск эффективных путей их решения.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4.1.6. Формирование эстетического вкуса на примере лучших образцов изобразительного искусства, художественно-эстетическое воспитание подрастающего поколения, развитие новых форм коммуникации.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4.1.7. Создание устойчивых традиций и положительного имиджа области в развитии изобразительного искусства.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V. Организаторы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5.1. Организаторами Фестиваля являются департамент внутренней и кадровой политики области совместно с Белгородским государственным художественным музеем, Белгородской региональной организацией всероссийской творческой общественной организации "Союз художников России" и Белгородским региональным отделением общероссийской общественной организации "Творческий союз художников России". Все организационные, технические, научно-методические вопросы по подготовке и проведению Фестиваля решает Оргкомитет.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5.1 в ред. </w:t>
      </w:r>
      <w:hyperlink r:id="rId10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5.2. Исключен. - </w:t>
      </w:r>
      <w:hyperlink r:id="rId11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5.3. Состав Оргкомитета по подготовке и проведению Фестиваля утверждается постановлением Правительства области и включает представителей: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управления культуры Белгородской области;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управления культуры администрации города Белгорода;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Белгородского государственного художественного музея;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- музея-мастерской заслуженного художника России 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С.С.Косенкова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>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творческих союзов;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Российского Фонда культуры.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Количественный состав Оргкомитета - 11 - 15 человек.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5.3 в ред. </w:t>
      </w:r>
      <w:hyperlink r:id="rId12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5.4. Выставочный комитет (далее - Выставком) по проведению и организации выставок с конкурсной программой формируется из состава Оргкомитета, членов Союза художников России и Творческого союза художников России. Состав Выставкома утверждается решением Оргкомитета. Выставком является жюри Конкурса. Председатель жюри, председатель Выставкома, сопредседатели Выставкома утверждаются решением Оргкомитета. Председатель жюри имеет право дополнительного голоса.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5.4 в ред. </w:t>
      </w:r>
      <w:hyperlink r:id="rId13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14.05.2012 N 213-пп)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5.5. Исключен. - </w:t>
      </w:r>
      <w:hyperlink r:id="rId14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5.6. Координатором Фестиваля является Белгородский государственный художественный музей: 308000, г. Белгород, ул. Победы, 77, E-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>: bghm@mail.ru; тел. 8(4722) 58-96-62; 58-96-56.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lastRenderedPageBreak/>
        <w:t>VI. Порядок проведения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6.1. Заявки для участия в выставках с конкурсной программой подаются по установленной форме за месяц до начала работы Фестиваля по адресу: 308000, г. Белгород, ул. Победы, 77, или электронной почте.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6.2. Работа Выставкома по отбору произведений и созданию выставочных экспозиций начинается за 10 дней до открытия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Дата проведения Выставкома назначается Оргкомитетом дополнительно и сообщается лицам, подавшим заявки на Фестиваль.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6.3. Выставком оставляет за собой право самостоятельно выбирать места экспонирования отобранных на выставку произведений.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6.4. Конкурсные работы, прошедшие Выставком, включаются в каталог выставки, который получают все участники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6.5. К участникам Фестиваля относятся члены Оргкомитета, Выставкома, художники, представившие свои работы на выставки с конкурсной программой, организаторы и ведущие мероприятий в рамках Фестиваля, выступающие с докладами и сообщениями на научно-практической конференции.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6.6. Фестиваль открывается презентацией выставок на нескольких выставочных площадках Белгородского государственного художественного музея, в музее-мастерской </w:t>
      </w:r>
      <w:proofErr w:type="spellStart"/>
      <w:r w:rsidRPr="00F3480D">
        <w:rPr>
          <w:rFonts w:ascii="Times New Roman" w:hAnsi="Times New Roman" w:cs="Times New Roman"/>
          <w:sz w:val="24"/>
          <w:szCs w:val="24"/>
        </w:rPr>
        <w:t>С.С.Косенкова</w:t>
      </w:r>
      <w:proofErr w:type="spellEnd"/>
      <w:r w:rsidRPr="00F3480D">
        <w:rPr>
          <w:rFonts w:ascii="Times New Roman" w:hAnsi="Times New Roman" w:cs="Times New Roman"/>
          <w:sz w:val="24"/>
          <w:szCs w:val="24"/>
        </w:rPr>
        <w:t>, в выставочном зале "Родина", в филиале Российского Фонда культуры и других.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6.7. Заявки на участие в научно-практической конференции подаются за 3 месяца до начала работы Фестиваля по адресу: 308000, г. Белгород, ул. Победы, 77, или электронной почте. Дата проведения конференции определяется Оргкомитетом и сообщается лицам, подавшим заявки, вместе с программой конференции и требованиями к оформлению материалов.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6.8. Встречи с художниками, мастер-классы, обучающие лекции, тренинги по искусству проводятся по отдельному плану, утвержденному Оргкомитетом, в течение работы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VII. Условия конкурса в рамках выставок Фестиваля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7.1. На выставки с конкурсной программой принимаются произведения храмового искусства, живописи, скульптуры, графики (кроме плаката), декоративно-прикладного и театрально-декорационного искусства, созданные за последние 2 года.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На выставки с конкурсной программой не принимаются и Выставкомом не рассматриваются: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произведения монументального искусства и их изображения (эскизы, фотографии, макеты);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работы, размер которых по вертикали или горизонтали превышает 2,5 метра;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скульптура весом более 100 кг;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произведения народного творчества;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- фотография.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7.1 в ред. </w:t>
      </w:r>
      <w:hyperlink r:id="rId15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7.2. Работы, участвующие в выставках с конкурсной программой Фестиваля, должны быть ранее не опубликованными, не участвовавшими в других конкурсах, не имеющими наград, оформленными для экспонирования.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7.3. Все работы, прошедшие Выставком, участвуют в конкурсе.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7.4. Основными критериями отбора и оценки конкурсных работ являются: высокохудожественный уровень произведений, сложность, глубина и актуальность поднимаемых тем, гармоничное сочетание творческого замысла и технического мастерства, творческий почерк, оригинальность, новаторство композиционного и образного решения.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7.5. Произведения, в которых творческие инициативы художников являются образным отражением нравственных, духовных проблем современного общества, их философским осмыслением, формирующие национальное самосознание, общечеловеческие ценности, воспитывающие патриотические идеалы, уважение к историческому наследию, культурным традициям, приобщающие к традициям русского классического искусства, будут являться приоритетными при определении победителей.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 xml:space="preserve">7.6. Работа жюри проходит в два этапа. На первом этапе отбираются пятнадцать лучших произведений белгородских художников и пятнадцать лучших работ гостей Фестиваля, из которых на втором этапе называются по три победителя в номинациях "Лучшая работа в области </w:t>
      </w:r>
      <w:r w:rsidRPr="00F3480D">
        <w:rPr>
          <w:rFonts w:ascii="Times New Roman" w:hAnsi="Times New Roman" w:cs="Times New Roman"/>
          <w:sz w:val="24"/>
          <w:szCs w:val="24"/>
        </w:rPr>
        <w:lastRenderedPageBreak/>
        <w:t>изобразительного искусства Белгородчины" и "Лучшая работа гостей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7.6 в ред. </w:t>
      </w:r>
      <w:hyperlink r:id="rId16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14.05.2012 N 213-пп)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7.7. Победители определяются путем тайного голосования и должны набрать не менее пятидесяти процентов голосов членов жюри. В случае если работы набирают равное количество голосов, председатель жюри пользуется правом дополнительного голоса.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8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80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F3480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F3480D">
        <w:rPr>
          <w:rFonts w:ascii="Times New Roman" w:hAnsi="Times New Roman" w:cs="Times New Roman"/>
          <w:sz w:val="24"/>
          <w:szCs w:val="24"/>
        </w:rPr>
        <w:t xml:space="preserve"> Правительства Белгородской области от 17.03.2014 N 90-пп)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7.8. Решение жюри оформляется протоколом, является окончательным и обжалованию не подлежит.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7.9. Победители конкурса в номинациях "Лучшая работа в области изобразительного искусства Белгородчины" и "Лучшая работа гостей Фестиваля" награждаются дипломами I, II, III степени.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7.10. Произведения художников - дипломантов Фестиваля рекомендуются Оргкомитетом для приобретения в фонды Белгородского государственного художественного музея согласно смете расходов на организацию и проведение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VIII. Финансовые условия участия в Фестивале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8.1. Управление культуры Белгородской области финансирует организацию и проведение Фестиваля в рамках выделенных бюджетных ассигнований. На проведение Фестиваля могут быть привлечены спонсорские средства и добровольные пожертвования.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8.2. Расходы участников Фестиваля (проезд, питание, проживание) производятся за счет направляющей стороны, если иное не предусмотрено дополнительной сметой расходов, договорами.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8.3. Расходы, связанные с работой Оргкомитета и жюри Фестиваля, несут организаторы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8.4. Оргкомитет Фестиваля оставляет за собой право использовать (в том числе распространять) без выплаты гонорара участникам Фестиваля видеозаписи, произведенные во время Фестиваля, сборники и буклеты, выпущенные по итогам Фестиваля.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3480D">
        <w:rPr>
          <w:rFonts w:ascii="Times New Roman" w:hAnsi="Times New Roman" w:cs="Times New Roman"/>
          <w:sz w:val="24"/>
          <w:szCs w:val="24"/>
        </w:rPr>
        <w:t>8.5. Участники Фестиваля имеют право реализовывать видео- и печатную продукцию, напрямую связанную с их профессиональной художественной деятельностью (буклеты, художественные альбомы, компакт-диски, плакаты, постеры) в период Фестиваля в специально отведенных торговых местах в соответствии с установленным порядком их работы (художественный салон музея, сувенирная лавка выставочного зала "Родина").</w:t>
      </w: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23895" w:rsidRPr="00F3480D" w:rsidRDefault="00A23895" w:rsidP="00507CB3">
      <w:pPr>
        <w:pStyle w:val="ConsPlusNormal"/>
        <w:tabs>
          <w:tab w:val="left" w:pos="10632"/>
          <w:tab w:val="left" w:pos="10773"/>
        </w:tabs>
        <w:ind w:left="-992" w:firstLine="14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23895" w:rsidRPr="00F3480D" w:rsidSect="00B35A15">
      <w:pgSz w:w="11905" w:h="16838"/>
      <w:pgMar w:top="720" w:right="720" w:bottom="720" w:left="153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85"/>
    <w:rsid w:val="00190D35"/>
    <w:rsid w:val="00197E99"/>
    <w:rsid w:val="001E7C0D"/>
    <w:rsid w:val="002F2543"/>
    <w:rsid w:val="004F33F3"/>
    <w:rsid w:val="00507CB3"/>
    <w:rsid w:val="005D1B82"/>
    <w:rsid w:val="00715106"/>
    <w:rsid w:val="0095088B"/>
    <w:rsid w:val="00A23895"/>
    <w:rsid w:val="00AC790F"/>
    <w:rsid w:val="00B35A15"/>
    <w:rsid w:val="00C64A27"/>
    <w:rsid w:val="00D53E65"/>
    <w:rsid w:val="00F3480D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342E6-C059-4C94-A7B8-4A3102C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F8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A3F8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A3F8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6CEBC203DBD20B8A9EDB4C3BA0ABC78A2997C1031421C307DD6D892C29F2A5983A71FC096655F794470v7h3O" TargetMode="External"/><Relationship Id="rId13" Type="http://schemas.openxmlformats.org/officeDocument/2006/relationships/hyperlink" Target="consultantplus://offline/ref=AE66CEBC203DBD20B8A9EDB4C3BA0ABC78A2997C1031421C307DD6D892C29F2A5983A71FC096655F794471v7hB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6CEBC203DBD20B8A9EDB4C3BA0ABC78A2997C1131431C347DD6D892C29F2A5983A71FC096655F794471v7h8O" TargetMode="External"/><Relationship Id="rId12" Type="http://schemas.openxmlformats.org/officeDocument/2006/relationships/hyperlink" Target="consultantplus://offline/ref=AE66CEBC203DBD20B8A9EDB4C3BA0ABC78A2997C1131431C347DD6D892C29F2A5983A71FC096655F794472v7hAO" TargetMode="External"/><Relationship Id="rId17" Type="http://schemas.openxmlformats.org/officeDocument/2006/relationships/hyperlink" Target="consultantplus://offline/ref=AE66CEBC203DBD20B8A9EDB4C3BA0ABC78A2997C1131431C347DD6D892C29F2A5983A71FC096655F794473v7h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6CEBC203DBD20B8A9EDB4C3BA0ABC78A2997C1031421C307DD6D892C29F2A5983A71FC096655F794471v7h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6CEBC203DBD20B8A9EDB4C3BA0ABC78A2997C16314711397DD6D892C29F2A5983A71FC096655F794470v7hDO" TargetMode="External"/><Relationship Id="rId11" Type="http://schemas.openxmlformats.org/officeDocument/2006/relationships/hyperlink" Target="consultantplus://offline/ref=AE66CEBC203DBD20B8A9EDB4C3BA0ABC78A2997C1131431C347DD6D892C29F2A5983A71FC096655F794472v7hBO" TargetMode="External"/><Relationship Id="rId5" Type="http://schemas.openxmlformats.org/officeDocument/2006/relationships/hyperlink" Target="consultantplus://offline/ref=AE66CEBC203DBD20B8A9EDB4C3BA0ABC78A2997C1131431C347DD6D892C29F2A5983A71FC096655F794471v7h9O" TargetMode="External"/><Relationship Id="rId15" Type="http://schemas.openxmlformats.org/officeDocument/2006/relationships/hyperlink" Target="consultantplus://offline/ref=AE66CEBC203DBD20B8A9EDB4C3BA0ABC78A2997C1131431C347DD6D892C29F2A5983A71FC096655F794473v7hBO" TargetMode="External"/><Relationship Id="rId10" Type="http://schemas.openxmlformats.org/officeDocument/2006/relationships/hyperlink" Target="consultantplus://offline/ref=AE66CEBC203DBD20B8A9EDB4C3BA0ABC78A2997C1131431C347DD6D892C29F2A5983A71FC096655F794471v7h3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E66CEBC203DBD20B8A9EDB4C3BA0ABC78A2997C1031421C307DD6D892C29F2A5983A71FC096655F794470v7hCO" TargetMode="External"/><Relationship Id="rId9" Type="http://schemas.openxmlformats.org/officeDocument/2006/relationships/hyperlink" Target="consultantplus://offline/ref=AE66CEBC203DBD20B8A9EDB4C3BA0ABC78A2997C16314711397DD6D892C29F2A5983A71FC096655F794470v7hCO" TargetMode="External"/><Relationship Id="rId14" Type="http://schemas.openxmlformats.org/officeDocument/2006/relationships/hyperlink" Target="consultantplus://offline/ref=AE66CEBC203DBD20B8A9EDB4C3BA0ABC78A2997C1131431C347DD6D892C29F2A5983A71FC096655F794472v7h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DUGANOVA</dc:creator>
  <cp:keywords/>
  <dc:description/>
  <cp:lastModifiedBy>Анфиса</cp:lastModifiedBy>
  <cp:revision>9</cp:revision>
  <cp:lastPrinted>2017-01-24T06:06:00Z</cp:lastPrinted>
  <dcterms:created xsi:type="dcterms:W3CDTF">2017-01-12T14:33:00Z</dcterms:created>
  <dcterms:modified xsi:type="dcterms:W3CDTF">2019-01-17T08:27:00Z</dcterms:modified>
</cp:coreProperties>
</file>